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90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290"/>
        <w:tblGridChange w:id="0">
          <w:tblGrid>
            <w:gridCol w:w="9290"/>
          </w:tblGrid>
        </w:tblGridChange>
      </w:tblGrid>
      <w:tr>
        <w:trPr>
          <w:cantSplit w:val="0"/>
          <w:tblHeader w:val="0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11. Контрола квалитета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Контрола квалитета студијског програма спроводи се редовно и систематично путем самовредновања и спољашњом провером квалитета.</w:t>
            </w:r>
          </w:p>
        </w:tc>
      </w:tr>
      <w:tr>
        <w:trPr>
          <w:cantSplit w:val="0"/>
          <w:trHeight w:val="4397" w:hRule="atLeast"/>
          <w:tblHeader w:val="0"/>
        </w:trPr>
        <w:tc>
          <w:tcPr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Опис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(највише 100 речи)</w:t>
            </w:r>
          </w:p>
          <w:p w:rsidR="00000000" w:rsidDel="00000000" w:rsidP="00000000" w:rsidRDefault="00000000" w:rsidRPr="00000000" w14:paraId="00000005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Квалитет студијског програма Мастер академских студија француског језика и књижевности обезбеђује се континуираним и систематичним праћењем његове реализације и подразумева контролу квалитета свих релевантних домена који укључују курикулум, наставу, наставно особље, оцењивање студената, уџбенике, литературу и савремена наставна средства. Филозофски факултет прати квалитет програма према процедури која је прецизирана посебним Правилником. Поступак вредновања спроводи </w:t>
            </w: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Центар за унапређење квалитета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унутар кога постоји Комисија за унапређење квалитета коју чине представници наставника, ненаставног особља и студената. Наставници врше евалуацију наставе у оквиру сваког од предмета и на основу резултата прилагођавају програме предмета. У контроли и оцени квалитета студијског програма и реализације наставе активно учествују и студенти кроз анонимне семестралне евалуације које се обављају електронским путем. Након тога Комисија за контролу и унапређење квалитета сачињава извештаје о резултатима вредновања и самовредновања на основу којих се доноси одлука о мерама за унапређење квалитета. Спољашња контрола квалитета обавља се унутар прописаног законског оквира, у интервалима од највише пет година.</w:t>
            </w:r>
          </w:p>
        </w:tc>
      </w:tr>
      <w:tr>
        <w:trPr>
          <w:cantSplit w:val="0"/>
          <w:trHeight w:val="2307" w:hRule="atLeast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7">
            <w:pPr>
              <w:pBdr>
                <w:bottom w:color="000000" w:space="1" w:sz="6" w:val="single"/>
              </w:pBd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Табеле и Прилози за стандард 11: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11.1</w:t>
              </w:r>
            </w:hyperlink>
            <w:hyperlink r:id="rId8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Листа чланова комисије организационих јединица задужених за квалитет (Комисије за квалитет,...) на Установи.</w:t>
            </w:r>
          </w:p>
          <w:p w:rsidR="00000000" w:rsidDel="00000000" w:rsidP="00000000" w:rsidRDefault="00000000" w:rsidRPr="00000000" w14:paraId="00000009">
            <w:pPr>
              <w:pBdr>
                <w:bottom w:color="000000" w:space="1" w:sz="6" w:val="single"/>
              </w:pBdr>
              <w:spacing w:after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11.1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Извештај о резултатима самовредновања </w:t>
            </w:r>
            <w:hyperlink r:id="rId9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Установе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; Извештај о самовредновању </w:t>
            </w:r>
            <w:hyperlink r:id="rId10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студијског програма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..</w:t>
            </w:r>
          </w:p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1fob9te" w:id="2"/>
            <w:bookmarkEnd w:id="2"/>
            <w:hyperlink r:id="rId11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11.2.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Јавно публикован документ – Политика обезбеђења квалитета- Установе.</w:t>
            </w:r>
          </w:p>
          <w:p w:rsidR="00000000" w:rsidDel="00000000" w:rsidP="00000000" w:rsidRDefault="00000000" w:rsidRPr="00000000" w14:paraId="0000000C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znysh7" w:id="3"/>
            <w:bookmarkEnd w:id="3"/>
            <w:hyperlink r:id="rId12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11.3.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Правилник о уџбеницима на Установи. </w:t>
            </w:r>
          </w:p>
          <w:p w:rsidR="00000000" w:rsidDel="00000000" w:rsidP="00000000" w:rsidRDefault="00000000" w:rsidRPr="00000000" w14:paraId="0000000D">
            <w:pPr>
              <w:rPr>
                <w:sz w:val="22"/>
                <w:szCs w:val="22"/>
                <w:vertAlign w:val="baseline"/>
              </w:rPr>
            </w:pPr>
            <w:bookmarkStart w:colFirst="0" w:colLast="0" w:name="_heading=h.2et92p0" w:id="4"/>
            <w:bookmarkEnd w:id="4"/>
            <w:hyperlink r:id="rId13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11.4</w:t>
              </w:r>
            </w:hyperlink>
            <w:hyperlink r:id="rId14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Извод из Статута Установе којим се регулише оснивање и делокруг рада организационих јединица задужених за квалитет (комисије за квалитет...).</w:t>
            </w:r>
          </w:p>
        </w:tc>
      </w:tr>
    </w:tbl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5" w:type="default"/>
      <w:headerReference r:id="rId16" w:type="first"/>
      <w:headerReference r:id="rId17" w:type="even"/>
      <w:footerReference r:id="rId18" w:type="default"/>
      <w:footerReference r:id="rId19" w:type="first"/>
      <w:footerReference r:id="rId20" w:type="even"/>
      <w:pgSz w:h="16840" w:w="11907" w:orient="portrait"/>
      <w:pgMar w:bottom="851" w:top="2269" w:left="1418" w:right="851" w:header="113" w:footer="4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6368"/>
      <w:gridCol w:w="1656"/>
      <w:tblGridChange w:id="0">
        <w:tblGrid>
          <w:gridCol w:w="1634"/>
          <w:gridCol w:w="6368"/>
          <w:gridCol w:w="1656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14400" cy="913765"/>
                <wp:effectExtent b="0" l="0" r="0" t="0"/>
                <wp:docPr id="10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 </w:t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Ф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ранцуск</w:t>
          </w: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и</w:t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Titre1">
    <w:name w:val="Titre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Policepardéfaut">
    <w:name w:val="Police par défaut"/>
    <w:next w:val="Policepardéfa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auNormal">
    <w:name w:val="Tableau Normal"/>
    <w:next w:val="Tableau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>
    <w:name w:val="Aucune liste"/>
    <w:next w:val="Aucunelist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-tête">
    <w:name w:val="En-tête"/>
    <w:basedOn w:val="Normal"/>
    <w:next w:val="En-tête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Pieddepage">
    <w:name w:val="Pied de page"/>
    <w:basedOn w:val="Normal"/>
    <w:next w:val="Pieddepage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Grilledutableau">
    <w:name w:val="Grille du tableau"/>
    <w:basedOn w:val="TableauNormal"/>
    <w:next w:val="Grilledutableau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lledutableau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edebulles">
    <w:name w:val="Texte de bulles"/>
    <w:basedOn w:val="Normal"/>
    <w:next w:val="Textedebulles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Lienhypertexte">
    <w:name w:val="Lien hypertexte"/>
    <w:next w:val="Lienhypertext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orpsdetexte2">
    <w:name w:val="Corps de texte 2"/>
    <w:basedOn w:val="Normal"/>
    <w:next w:val="Corpsdetexte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Corpsdetexte">
    <w:name w:val="Corps de texte"/>
    <w:basedOn w:val="Normal"/>
    <w:next w:val="Corpsdetexte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Lienhypertextesuivivisité">
    <w:name w:val="Lien hypertexte suivi visité"/>
    <w:next w:val="Lienhypertextesuivivisité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3.xml"/><Relationship Id="rId11" Type="http://schemas.openxmlformats.org/officeDocument/2006/relationships/hyperlink" Target="http://../Prilozi%20i%20tabele/Prilozi%20standarda%2011/Prilog%2011.2.%20Politika%20obezbe%C4%91enja%20kvaliteta%20Ustanove" TargetMode="External"/><Relationship Id="rId10" Type="http://schemas.openxmlformats.org/officeDocument/2006/relationships/hyperlink" Target="http://../Izve%C5%A1taj%20o%20samovrednovanju%20MAS%20anglistike/Izvestaj%20o%20samovrednovanju%20MAS%20anglistike%202020.doc" TargetMode="External"/><Relationship Id="rId13" Type="http://schemas.openxmlformats.org/officeDocument/2006/relationships/hyperlink" Target="http://../Prilozi%20i%20tabele/Prilozi%20standarda%2011/Prilog%2011.4.%20Izvod%20iz%20Statuta%20Centar%20i%20Komisija.pdf" TargetMode="External"/><Relationship Id="rId12" Type="http://schemas.openxmlformats.org/officeDocument/2006/relationships/hyperlink" Target="http://../Prilozi%20i%20tabele/Prilozi%20standarda%2011/Prilog%2011.3.%20Pravilnik%20o%20udzbenicima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../SAMOVREDNOVANJE%20USTANOVE/Izvestaj_o_samovrednovanju_2020.doc" TargetMode="External"/><Relationship Id="rId15" Type="http://schemas.openxmlformats.org/officeDocument/2006/relationships/header" Target="header3.xml"/><Relationship Id="rId14" Type="http://schemas.openxmlformats.org/officeDocument/2006/relationships/hyperlink" Target="http://../Prilozi%20i%20tabele/Prilozi%20standarda%2011/Prilog%2011.4.%20Izvod%20iz%20Statuta%20Centar%20i%20Komisija.pdf" TargetMode="External"/><Relationship Id="rId17" Type="http://schemas.openxmlformats.org/officeDocument/2006/relationships/header" Target="header1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footer" Target="footer2.xml"/><Relationship Id="rId7" Type="http://schemas.openxmlformats.org/officeDocument/2006/relationships/hyperlink" Target="http://../Prilozi%20i%20tabele/Tabele%20standarda%2011" TargetMode="External"/><Relationship Id="rId8" Type="http://schemas.openxmlformats.org/officeDocument/2006/relationships/hyperlink" Target="http://../Prilozi%20i%20tabele/Tabele%20standarda%2011" TargetMode="Externa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4NHsrJOQu3rBM0X8zxXSV1KF1w==">AMUW2mUmiyi1SkQqpi/hGOyMm/l/v3ghcfUR1oN0sTl/mihKJGA/A0pzh6RmeGfEp226NL1V1hgDzyXeyRY/J3Rs5flwbb5HHsI9vZjpdhH7R1BuT6gdaxyK/Rrf/w9TDLYSMVQnjjVPCdrPZVIHPObjcvIXLzX+g03zJQksc/qocNlTEpTmS1SVghHhIz+I/JqxDt6QKP0n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2020-03-13T16:06:00Z</dcterms:created>
  <dc:creator>Figi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